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ja-JP"/>
        </w:rPr>
      </w:pPr>
      <w:bookmarkStart w:id="0" w:name="_Hlt450051172"/>
      <w:bookmarkEnd w:id="0"/>
      <w:bookmarkStart w:id="1" w:name="_Hlt449016246"/>
      <w:bookmarkEnd w:id="1"/>
      <w:bookmarkStart w:id="2" w:name="_Hlt450066085"/>
      <w:bookmarkEnd w:id="2"/>
      <w:bookmarkStart w:id="3" w:name="_Hlt450066087"/>
      <w:bookmarkEnd w:id="3"/>
      <w:bookmarkStart w:id="4" w:name="_Hlt448930105"/>
      <w:bookmarkEnd w:id="4"/>
      <w:bookmarkStart w:id="5" w:name="_Hlt450039480"/>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eastAsia="宋体" w:cs="Arial"/>
          <w:b/>
          <w:sz w:val="24"/>
          <w:szCs w:val="24"/>
          <w:lang w:eastAsia="zh-CN"/>
        </w:rPr>
        <w:t>8</w:t>
      </w:r>
      <w:r>
        <w:rPr>
          <w:rFonts w:ascii="Arial" w:hAnsi="Arial" w:eastAsia="宋体" w:cs="Arial"/>
          <w:b/>
          <w:sz w:val="24"/>
          <w:szCs w:val="24"/>
          <w:lang w:eastAsia="zh-CN"/>
        </w:rPr>
        <w:t>6</w:t>
      </w:r>
      <w:r>
        <w:rPr>
          <w:rFonts w:hint="eastAsia" w:ascii="Arial" w:hAnsi="Arial" w:cs="Arial"/>
          <w:b/>
          <w:sz w:val="24"/>
          <w:szCs w:val="24"/>
          <w:lang w:val="en-US" w:eastAsia="zh-CN"/>
        </w:rPr>
        <w:t xml:space="preserve">bis </w:t>
      </w:r>
      <w:r>
        <w:rPr>
          <w:rFonts w:ascii="Arial" w:hAnsi="Arial" w:eastAsia="MS Mincho" w:cs="Arial"/>
          <w:b/>
          <w:sz w:val="24"/>
          <w:szCs w:val="24"/>
          <w:lang w:val="en-US"/>
        </w:rPr>
        <w:tab/>
      </w:r>
      <w:r>
        <w:rPr>
          <w:rFonts w:hint="eastAsia" w:ascii="Arial" w:hAnsi="Arial" w:eastAsia="MS Mincho" w:cs="Arial"/>
          <w:b/>
          <w:sz w:val="24"/>
          <w:szCs w:val="24"/>
          <w:lang w:val="en-US"/>
        </w:rPr>
        <w:t>R4-180</w:t>
      </w:r>
      <w:r>
        <w:rPr>
          <w:rFonts w:hint="eastAsia" w:ascii="Arial" w:hAnsi="Arial" w:cs="Arial"/>
          <w:b/>
          <w:sz w:val="24"/>
          <w:szCs w:val="24"/>
          <w:highlight w:val="none"/>
          <w:lang w:val="en-US" w:eastAsia="zh-CN"/>
        </w:rPr>
        <w:t>3767</w:t>
      </w:r>
      <w:bookmarkStart w:id="7" w:name="_GoBack"/>
      <w:bookmarkEnd w:id="7"/>
    </w:p>
    <w:p>
      <w:pPr>
        <w:tabs>
          <w:tab w:val="right" w:pos="10440"/>
          <w:tab w:val="right" w:pos="13323"/>
        </w:tabs>
        <w:spacing w:afterLines="100"/>
        <w:rPr>
          <w:rFonts w:ascii="Arial" w:hAnsi="Arial" w:eastAsia="MS Mincho" w:cs="Arial"/>
          <w:b/>
          <w:sz w:val="24"/>
          <w:szCs w:val="24"/>
          <w:lang w:eastAsia="ja-JP"/>
        </w:rPr>
      </w:pPr>
      <w:r>
        <w:rPr>
          <w:rFonts w:hint="eastAsia" w:ascii="Arial" w:hAnsi="Arial"/>
          <w:b/>
          <w:sz w:val="24"/>
          <w:szCs w:val="24"/>
          <w:lang w:val="en-US" w:eastAsia="zh-CN"/>
        </w:rPr>
        <w:t>Melbourne</w:t>
      </w:r>
      <w:r>
        <w:rPr>
          <w:rFonts w:hint="eastAsia" w:ascii="Arial" w:hAnsi="Arial" w:eastAsia="宋体"/>
          <w:b/>
          <w:sz w:val="24"/>
          <w:szCs w:val="24"/>
          <w:lang w:eastAsia="zh-CN"/>
        </w:rPr>
        <w:t xml:space="preserve">, </w:t>
      </w:r>
      <w:r>
        <w:rPr>
          <w:rFonts w:hint="eastAsia" w:ascii="Arial" w:hAnsi="Arial"/>
          <w:b/>
          <w:sz w:val="24"/>
          <w:szCs w:val="24"/>
          <w:lang w:val="en-US" w:eastAsia="zh-CN"/>
        </w:rPr>
        <w:t>Australia</w:t>
      </w:r>
      <w:r>
        <w:rPr>
          <w:rFonts w:ascii="Arial" w:hAnsi="Arial" w:eastAsia="宋体"/>
          <w:b/>
          <w:sz w:val="24"/>
          <w:szCs w:val="24"/>
          <w:lang w:eastAsia="zh-CN"/>
        </w:rPr>
        <w:t xml:space="preserve">, </w:t>
      </w:r>
      <w:r>
        <w:rPr>
          <w:rFonts w:hint="eastAsia" w:ascii="Arial" w:hAnsi="Arial"/>
          <w:b/>
          <w:sz w:val="24"/>
          <w:szCs w:val="24"/>
          <w:lang w:val="en-US" w:eastAsia="zh-CN"/>
        </w:rPr>
        <w:t>1</w:t>
      </w:r>
      <w:r>
        <w:rPr>
          <w:rFonts w:ascii="Arial" w:hAnsi="Arial" w:eastAsia="宋体"/>
          <w:b/>
          <w:sz w:val="24"/>
          <w:szCs w:val="24"/>
          <w:lang w:eastAsia="zh-CN"/>
        </w:rPr>
        <w:t>6</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April</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ascii="Arial" w:hAnsi="Arial" w:eastAsia="宋体"/>
          <w:b/>
          <w:sz w:val="24"/>
          <w:szCs w:val="24"/>
          <w:lang w:eastAsia="zh-CN"/>
        </w:rPr>
        <w:t>2</w:t>
      </w:r>
      <w:r>
        <w:rPr>
          <w:rFonts w:hint="eastAsia" w:ascii="Arial" w:hAnsi="Arial"/>
          <w:b/>
          <w:sz w:val="24"/>
          <w:szCs w:val="24"/>
          <w:lang w:val="en-US" w:eastAsia="zh-CN"/>
        </w:rPr>
        <w:t>0</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April</w:t>
      </w:r>
      <w:r>
        <w:rPr>
          <w:rFonts w:ascii="Arial" w:hAnsi="Arial" w:eastAsia="宋体"/>
          <w:b/>
          <w:sz w:val="24"/>
          <w:szCs w:val="24"/>
          <w:lang w:eastAsia="zh-CN"/>
        </w:rPr>
        <w:t>, 2018</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on EMC requirements for BS type 2-O</w:t>
      </w:r>
    </w:p>
    <w:p>
      <w:pPr>
        <w:tabs>
          <w:tab w:val="left" w:pos="1985"/>
        </w:tabs>
        <w:jc w:val="both"/>
        <w:rPr>
          <w:rFonts w:ascii="Arial" w:hAnsi="Arial" w:cs="Arial"/>
          <w:b/>
          <w:color w:val="000000"/>
          <w:sz w:val="22"/>
          <w:szCs w:val="22"/>
          <w:lang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7.8.2</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eastAsia"/>
          <w:color w:val="000000" w:themeColor="text1"/>
          <w:sz w:val="20"/>
          <w:lang w:val="en-US" w:eastAsia="zh-CN"/>
          <w14:textFill>
            <w14:solidFill>
              <w14:schemeClr w14:val="tx1"/>
            </w14:solidFill>
          </w14:textFill>
        </w:rPr>
      </w:pPr>
      <w:r>
        <w:rPr>
          <w:rFonts w:hint="eastAsia"/>
          <w:color w:val="000000" w:themeColor="text1"/>
          <w:sz w:val="20"/>
          <w:lang w:val="en-US" w:eastAsia="zh-CN"/>
          <w14:textFill>
            <w14:solidFill>
              <w14:schemeClr w14:val="tx1"/>
            </w14:solidFill>
          </w14:textFill>
        </w:rPr>
        <w:t>Core part for TS 38.113 has already been approved in December 2017. However, the EMC requirements for BS type 2-O has not been fully discussed, especially the radiated immunity test. In this contribution, we give some discussion on the applicability of all the EMC requirements for BS type 2-O.</w:t>
      </w:r>
    </w:p>
    <w:p>
      <w:pPr>
        <w:pStyle w:val="2"/>
        <w:rPr>
          <w:lang w:eastAsia="zh-CN"/>
        </w:rPr>
      </w:pPr>
      <w:r>
        <w:rPr>
          <w:lang w:eastAsia="zh-CN"/>
        </w:rPr>
        <w:t>Discussion</w:t>
      </w:r>
    </w:p>
    <w:p>
      <w:pPr>
        <w:ind w:firstLine="280" w:firstLineChars="0"/>
        <w:rPr>
          <w:rFonts w:hint="eastAsia"/>
          <w:lang w:val="en-US" w:eastAsia="zh-CN"/>
        </w:rPr>
      </w:pPr>
      <w:r>
        <w:rPr>
          <w:rFonts w:hint="eastAsia"/>
          <w:lang w:val="en-US" w:eastAsia="zh-CN"/>
        </w:rPr>
        <w:t>The applicability of BS type 2-O should be the same as that of BS type 1-O as the only difference is the frequency range which doesn</w:t>
      </w:r>
      <w:r>
        <w:rPr>
          <w:rFonts w:hint="default"/>
          <w:lang w:val="en-US" w:eastAsia="zh-CN"/>
        </w:rPr>
        <w:t>’</w:t>
      </w:r>
      <w:r>
        <w:rPr>
          <w:rFonts w:hint="eastAsia"/>
          <w:lang w:val="en-US" w:eastAsia="zh-CN"/>
        </w:rPr>
        <w:t>t apply any change in EMC requirements. So the applicability for BS type 2-O should be the same as chapter 7 of TS 38.113[1] as shown in table 1 and table 2 below.</w:t>
      </w:r>
    </w:p>
    <w:p>
      <w:pPr>
        <w:ind w:firstLine="280" w:firstLineChars="0"/>
        <w:jc w:val="center"/>
        <w:rPr>
          <w:rFonts w:hint="eastAsia"/>
          <w:lang w:val="en-US" w:eastAsia="zh-CN"/>
        </w:rPr>
      </w:pPr>
      <w:r>
        <w:rPr>
          <w:rFonts w:hint="eastAsia"/>
          <w:lang w:val="en-US" w:eastAsia="zh-CN"/>
        </w:rPr>
        <w:t xml:space="preserve">Table 1 </w:t>
      </w:r>
      <w:r>
        <w:rPr>
          <w:lang w:eastAsia="en-GB"/>
        </w:rPr>
        <w:t>Emission requirements applicability</w:t>
      </w:r>
    </w:p>
    <w:tbl>
      <w:tblPr>
        <w:tblStyle w:val="52"/>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Merge w:val="restart"/>
            <w:vAlign w:val="center"/>
          </w:tcPr>
          <w:p>
            <w:pPr>
              <w:pStyle w:val="62"/>
              <w:rPr>
                <w:lang w:eastAsia="en-GB"/>
              </w:rPr>
            </w:pPr>
            <w:r>
              <w:rPr>
                <w:lang w:eastAsia="en-GB"/>
              </w:rPr>
              <w:t>Phenomenon</w:t>
            </w:r>
          </w:p>
        </w:tc>
        <w:tc>
          <w:tcPr>
            <w:tcW w:w="1726" w:type="dxa"/>
            <w:vMerge w:val="restart"/>
            <w:vAlign w:val="center"/>
          </w:tcPr>
          <w:p>
            <w:pPr>
              <w:pStyle w:val="62"/>
              <w:rPr>
                <w:lang w:eastAsia="en-GB"/>
              </w:rPr>
            </w:pPr>
            <w:r>
              <w:rPr>
                <w:lang w:eastAsia="en-GB"/>
              </w:rPr>
              <w:t>Application</w:t>
            </w:r>
          </w:p>
        </w:tc>
        <w:tc>
          <w:tcPr>
            <w:tcW w:w="2162" w:type="dxa"/>
            <w:gridSpan w:val="2"/>
            <w:vAlign w:val="center"/>
          </w:tcPr>
          <w:p>
            <w:pPr>
              <w:pStyle w:val="62"/>
              <w:rPr>
                <w:lang w:eastAsia="en-GB"/>
              </w:rPr>
            </w:pPr>
            <w:r>
              <w:rPr>
                <w:lang w:eastAsia="en-GB"/>
              </w:rPr>
              <w:t>Equipment test requirement</w:t>
            </w:r>
          </w:p>
        </w:tc>
        <w:tc>
          <w:tcPr>
            <w:tcW w:w="1131" w:type="dxa"/>
            <w:vMerge w:val="restart"/>
            <w:vAlign w:val="center"/>
          </w:tcPr>
          <w:p>
            <w:pPr>
              <w:pStyle w:val="62"/>
              <w:rPr>
                <w:lang w:eastAsia="en-GB"/>
              </w:rPr>
            </w:pPr>
            <w:r>
              <w:rPr>
                <w:lang w:eastAsia="en-GB"/>
              </w:rPr>
              <w:t>Reference</w:t>
            </w:r>
          </w:p>
          <w:p>
            <w:pPr>
              <w:pStyle w:val="62"/>
              <w:rPr>
                <w:lang w:eastAsia="en-GB"/>
              </w:rPr>
            </w:pPr>
            <w:r>
              <w:rPr>
                <w:lang w:eastAsia="en-GB"/>
              </w:rPr>
              <w:t>subclause in the present document</w:t>
            </w:r>
          </w:p>
        </w:tc>
        <w:tc>
          <w:tcPr>
            <w:tcW w:w="3169" w:type="dxa"/>
            <w:vMerge w:val="restart"/>
            <w:vAlign w:val="center"/>
          </w:tcPr>
          <w:p>
            <w:pPr>
              <w:pStyle w:val="62"/>
              <w:rPr>
                <w:lang w:eastAsia="en-GB"/>
              </w:rPr>
            </w:pPr>
            <w:r>
              <w:rPr>
                <w:lang w:eastAsia="en-GB"/>
              </w:rPr>
              <w:t>Reference</w:t>
            </w:r>
          </w:p>
          <w:p>
            <w:pPr>
              <w:pStyle w:val="62"/>
              <w:rPr>
                <w:lang w:eastAsia="en-GB"/>
              </w:rPr>
            </w:pPr>
            <w:r>
              <w:rPr>
                <w:lang w:eastAsia="en-GB"/>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Merge w:val="continue"/>
            <w:vAlign w:val="center"/>
          </w:tcPr>
          <w:p>
            <w:pPr>
              <w:pStyle w:val="62"/>
              <w:rPr>
                <w:lang w:eastAsia="en-GB"/>
              </w:rPr>
            </w:pPr>
          </w:p>
        </w:tc>
        <w:tc>
          <w:tcPr>
            <w:tcW w:w="1726" w:type="dxa"/>
            <w:vMerge w:val="continue"/>
            <w:vAlign w:val="center"/>
          </w:tcPr>
          <w:p>
            <w:pPr>
              <w:pStyle w:val="62"/>
              <w:rPr>
                <w:lang w:eastAsia="en-GB"/>
              </w:rPr>
            </w:pPr>
          </w:p>
        </w:tc>
        <w:tc>
          <w:tcPr>
            <w:tcW w:w="1118" w:type="dxa"/>
            <w:vAlign w:val="center"/>
          </w:tcPr>
          <w:p>
            <w:pPr>
              <w:pStyle w:val="62"/>
              <w:rPr>
                <w:lang w:eastAsia="en-GB"/>
              </w:rPr>
            </w:pPr>
            <w:r>
              <w:rPr>
                <w:lang w:eastAsia="en-GB"/>
              </w:rPr>
              <w:t>BS equipment</w:t>
            </w:r>
          </w:p>
        </w:tc>
        <w:tc>
          <w:tcPr>
            <w:tcW w:w="1044" w:type="dxa"/>
            <w:vAlign w:val="center"/>
          </w:tcPr>
          <w:p>
            <w:pPr>
              <w:pStyle w:val="62"/>
              <w:rPr>
                <w:lang w:eastAsia="en-GB"/>
              </w:rPr>
            </w:pPr>
            <w:r>
              <w:rPr>
                <w:lang w:eastAsia="en-GB"/>
              </w:rPr>
              <w:t>Ancillary equipment</w:t>
            </w:r>
          </w:p>
        </w:tc>
        <w:tc>
          <w:tcPr>
            <w:tcW w:w="1131" w:type="dxa"/>
            <w:vMerge w:val="continue"/>
            <w:vAlign w:val="center"/>
          </w:tcPr>
          <w:p>
            <w:pPr>
              <w:pStyle w:val="62"/>
              <w:rPr>
                <w:lang w:eastAsia="en-GB"/>
              </w:rPr>
            </w:pPr>
          </w:p>
        </w:tc>
        <w:tc>
          <w:tcPr>
            <w:tcW w:w="3169" w:type="dxa"/>
            <w:vMerge w:val="continue"/>
            <w:vAlign w:val="center"/>
          </w:tcPr>
          <w:p>
            <w:pPr>
              <w:pStyle w:val="62"/>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63"/>
              <w:rPr>
                <w:rFonts w:hint="eastAsia"/>
                <w:lang w:val="en-US" w:eastAsia="zh-CN"/>
              </w:rPr>
            </w:pPr>
            <w:r>
              <w:rPr>
                <w:rFonts w:hint="eastAsia"/>
                <w:lang w:val="en-US" w:eastAsia="zh-CN"/>
              </w:rPr>
              <w:t>Radiated emission</w:t>
            </w:r>
          </w:p>
        </w:tc>
        <w:tc>
          <w:tcPr>
            <w:tcW w:w="1726" w:type="dxa"/>
            <w:vAlign w:val="top"/>
          </w:tcPr>
          <w:p>
            <w:pPr>
              <w:pStyle w:val="63"/>
              <w:rPr>
                <w:rFonts w:hint="eastAsia"/>
                <w:lang w:val="en-US" w:eastAsia="zh-CN"/>
              </w:rPr>
            </w:pPr>
            <w:r>
              <w:rPr>
                <w:rFonts w:hint="eastAsia"/>
                <w:lang w:val="en-US" w:eastAsia="zh-CN"/>
              </w:rPr>
              <w:t>Enclosure</w:t>
            </w:r>
          </w:p>
        </w:tc>
        <w:tc>
          <w:tcPr>
            <w:tcW w:w="1118" w:type="dxa"/>
            <w:vAlign w:val="top"/>
          </w:tcPr>
          <w:p>
            <w:pPr>
              <w:pStyle w:val="63"/>
              <w:rPr>
                <w:rFonts w:hint="eastAsia"/>
                <w:lang w:val="en-US" w:eastAsia="zh-CN"/>
              </w:rPr>
            </w:pPr>
            <w:r>
              <w:rPr>
                <w:rFonts w:hint="eastAsia"/>
                <w:lang w:val="en-US" w:eastAsia="zh-CN"/>
              </w:rPr>
              <w:t xml:space="preserve">applicable for </w:t>
            </w:r>
            <w:r>
              <w:rPr>
                <w:lang w:val="en-US" w:eastAsia="zh-CN"/>
              </w:rPr>
              <w:t xml:space="preserve">BS type </w:t>
            </w:r>
            <w:r>
              <w:rPr>
                <w:rFonts w:hint="eastAsia"/>
                <w:lang w:val="en-US" w:eastAsia="zh-CN"/>
              </w:rPr>
              <w:t xml:space="preserve">1-C and </w:t>
            </w:r>
            <w:r>
              <w:rPr>
                <w:lang w:val="en-US" w:eastAsia="zh-CN"/>
              </w:rPr>
              <w:t xml:space="preserve">BS type </w:t>
            </w:r>
            <w:r>
              <w:rPr>
                <w:rFonts w:hint="eastAsia"/>
                <w:lang w:val="en-US" w:eastAsia="zh-CN"/>
              </w:rPr>
              <w:t>1-H</w:t>
            </w:r>
          </w:p>
          <w:p>
            <w:pPr>
              <w:pStyle w:val="63"/>
              <w:rPr>
                <w:rFonts w:hint="eastAsia"/>
                <w:lang w:val="en-US" w:eastAsia="zh-CN"/>
              </w:rPr>
            </w:pPr>
            <w:r>
              <w:rPr>
                <w:rFonts w:hint="eastAsia"/>
                <w:lang w:val="en-US" w:eastAsia="zh-CN"/>
              </w:rPr>
              <w:t>(Note 1)</w:t>
            </w:r>
          </w:p>
        </w:tc>
        <w:tc>
          <w:tcPr>
            <w:tcW w:w="1044" w:type="dxa"/>
            <w:vAlign w:val="top"/>
          </w:tcPr>
          <w:p>
            <w:pPr>
              <w:pStyle w:val="63"/>
              <w:rPr>
                <w:rFonts w:hint="eastAsia"/>
                <w:lang w:val="en-US" w:eastAsia="zh-CN"/>
              </w:rPr>
            </w:pPr>
            <w:r>
              <w:rPr>
                <w:rFonts w:hint="eastAsia"/>
                <w:lang w:val="en-US" w:eastAsia="zh-CN"/>
              </w:rPr>
              <w:t>not applicable</w:t>
            </w:r>
          </w:p>
        </w:tc>
        <w:tc>
          <w:tcPr>
            <w:tcW w:w="1131" w:type="dxa"/>
            <w:vAlign w:val="top"/>
          </w:tcPr>
          <w:p>
            <w:pPr>
              <w:pStyle w:val="63"/>
              <w:rPr>
                <w:rFonts w:hint="eastAsia"/>
                <w:lang w:val="en-US" w:eastAsia="zh-CN"/>
              </w:rPr>
            </w:pPr>
            <w:r>
              <w:rPr>
                <w:rFonts w:hint="eastAsia"/>
                <w:lang w:val="en-US" w:eastAsia="zh-CN"/>
              </w:rPr>
              <w:t>8.2.1</w:t>
            </w:r>
          </w:p>
        </w:tc>
        <w:tc>
          <w:tcPr>
            <w:tcW w:w="3169" w:type="dxa"/>
            <w:vAlign w:val="top"/>
          </w:tcPr>
          <w:p>
            <w:pPr>
              <w:pStyle w:val="63"/>
              <w:rPr>
                <w:lang w:eastAsia="en-GB"/>
              </w:rPr>
            </w:pPr>
            <w:r>
              <w:rPr>
                <w:lang w:eastAsia="en-GB"/>
              </w:rPr>
              <w:t>ITU-R SM.329 [</w:t>
            </w:r>
            <w:r>
              <w:rPr>
                <w:lang w:val="en-US" w:eastAsia="zh-CN"/>
              </w:rPr>
              <w:t>2</w:t>
            </w: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63"/>
              <w:rPr>
                <w:lang w:eastAsia="en-GB"/>
              </w:rPr>
            </w:pPr>
            <w:r>
              <w:rPr>
                <w:lang w:eastAsia="en-GB"/>
              </w:rPr>
              <w:t>Radiated emission</w:t>
            </w:r>
          </w:p>
        </w:tc>
        <w:tc>
          <w:tcPr>
            <w:tcW w:w="1726" w:type="dxa"/>
            <w:vAlign w:val="top"/>
          </w:tcPr>
          <w:p>
            <w:pPr>
              <w:pStyle w:val="63"/>
              <w:rPr>
                <w:lang w:eastAsia="en-GB"/>
              </w:rPr>
            </w:pPr>
            <w:r>
              <w:rPr>
                <w:lang w:eastAsia="en-GB"/>
              </w:rPr>
              <w:t>Enclosure</w:t>
            </w:r>
            <w:r>
              <w:rPr>
                <w:rFonts w:hint="eastAsia"/>
                <w:lang w:val="en-US" w:eastAsia="zh-CN"/>
              </w:rPr>
              <w:t xml:space="preserve"> of </w:t>
            </w:r>
            <w:r>
              <w:rPr>
                <w:rFonts w:hint="eastAsia"/>
                <w:i/>
                <w:lang w:val="en-US" w:eastAsia="zh-CN"/>
              </w:rPr>
              <w:t>ancillary equipment</w:t>
            </w:r>
          </w:p>
        </w:tc>
        <w:tc>
          <w:tcPr>
            <w:tcW w:w="1118" w:type="dxa"/>
            <w:vAlign w:val="top"/>
          </w:tcPr>
          <w:p>
            <w:pPr>
              <w:pStyle w:val="63"/>
              <w:rPr>
                <w:rFonts w:hint="eastAsia"/>
                <w:lang w:val="en-US" w:eastAsia="zh-CN"/>
              </w:rPr>
            </w:pPr>
            <w:r>
              <w:rPr>
                <w:rFonts w:hint="eastAsia"/>
                <w:lang w:val="en-US" w:eastAsia="zh-CN"/>
              </w:rPr>
              <w:t>not applicable]</w:t>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8.2.2</w:t>
            </w:r>
          </w:p>
        </w:tc>
        <w:tc>
          <w:tcPr>
            <w:tcW w:w="3169" w:type="dxa"/>
            <w:vAlign w:val="top"/>
          </w:tcPr>
          <w:p>
            <w:pPr>
              <w:pStyle w:val="63"/>
              <w:rPr>
                <w:lang w:eastAsia="en-GB"/>
              </w:rPr>
            </w:pPr>
            <w:r>
              <w:rPr>
                <w:lang w:eastAsia="en-GB"/>
              </w:rPr>
              <w:t xml:space="preserve">CISPR </w:t>
            </w:r>
            <w:r>
              <w:rPr>
                <w:rFonts w:hint="eastAsia"/>
                <w:lang w:val="en-US" w:eastAsia="zh-CN"/>
              </w:rPr>
              <w:t>3</w:t>
            </w:r>
            <w:r>
              <w:rPr>
                <w:lang w:eastAsia="en-GB"/>
              </w:rPr>
              <w:t>2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63"/>
              <w:rPr>
                <w:lang w:eastAsia="en-GB"/>
              </w:rPr>
            </w:pPr>
            <w:r>
              <w:rPr>
                <w:lang w:eastAsia="en-GB"/>
              </w:rPr>
              <w:t>Conducted emission</w:t>
            </w:r>
          </w:p>
        </w:tc>
        <w:tc>
          <w:tcPr>
            <w:tcW w:w="1726" w:type="dxa"/>
            <w:vAlign w:val="top"/>
          </w:tcPr>
          <w:p>
            <w:pPr>
              <w:pStyle w:val="63"/>
              <w:rPr>
                <w:lang w:eastAsia="en-GB"/>
              </w:rPr>
            </w:pPr>
            <w:r>
              <w:rPr>
                <w:lang w:eastAsia="en-GB"/>
              </w:rPr>
              <w:t>DC power input/output port</w:t>
            </w:r>
          </w:p>
        </w:tc>
        <w:tc>
          <w:tcPr>
            <w:tcW w:w="1118" w:type="dxa"/>
            <w:vAlign w:val="top"/>
          </w:tcPr>
          <w:p>
            <w:pPr>
              <w:pStyle w:val="63"/>
              <w:rPr>
                <w:lang w:eastAsia="en-GB"/>
              </w:rPr>
            </w:pPr>
            <w:r>
              <w:rPr>
                <w:lang w:eastAsia="en-GB"/>
              </w:rPr>
              <w:t>applicable</w:t>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8.3</w:t>
            </w:r>
          </w:p>
        </w:tc>
        <w:tc>
          <w:tcPr>
            <w:tcW w:w="3169" w:type="dxa"/>
            <w:vAlign w:val="top"/>
          </w:tcPr>
          <w:p>
            <w:pPr>
              <w:pStyle w:val="63"/>
              <w:rPr>
                <w:lang w:eastAsia="en-GB"/>
              </w:rPr>
            </w:pPr>
            <w:r>
              <w:rPr>
                <w:lang w:eastAsia="en-GB"/>
              </w:rPr>
              <w:t>CISPR </w:t>
            </w:r>
            <w:r>
              <w:rPr>
                <w:rFonts w:hint="eastAsia"/>
                <w:lang w:val="en-US" w:eastAsia="zh-CN"/>
              </w:rPr>
              <w:t>3</w:t>
            </w:r>
            <w:r>
              <w:rPr>
                <w:lang w:eastAsia="en-GB"/>
              </w:rPr>
              <w:t xml:space="preserve">2 [11], </w:t>
            </w:r>
            <w:r>
              <w:rPr>
                <w:lang w:eastAsia="en-GB"/>
              </w:rPr>
              <w:br w:type="textWrapping"/>
            </w:r>
            <w:r>
              <w:rPr>
                <w:lang w:eastAsia="en-GB"/>
              </w:rPr>
              <w:t>CISPR 16</w:t>
            </w:r>
            <w:r>
              <w:rPr>
                <w:lang w:eastAsia="en-GB"/>
              </w:rPr>
              <w:noBreakHyphen/>
            </w:r>
            <w:r>
              <w:rPr>
                <w:lang w:eastAsia="en-GB"/>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63"/>
              <w:rPr>
                <w:lang w:eastAsia="en-GB"/>
              </w:rPr>
            </w:pPr>
            <w:r>
              <w:rPr>
                <w:lang w:eastAsia="en-GB"/>
              </w:rPr>
              <w:t>Conducted emission</w:t>
            </w:r>
          </w:p>
        </w:tc>
        <w:tc>
          <w:tcPr>
            <w:tcW w:w="1726" w:type="dxa"/>
            <w:vAlign w:val="top"/>
          </w:tcPr>
          <w:p>
            <w:pPr>
              <w:pStyle w:val="63"/>
              <w:rPr>
                <w:lang w:val="fr-FR" w:eastAsia="en-GB"/>
              </w:rPr>
            </w:pPr>
            <w:r>
              <w:rPr>
                <w:lang w:val="fr-FR" w:eastAsia="en-GB"/>
              </w:rPr>
              <w:t>AC mains input/output port</w:t>
            </w:r>
          </w:p>
        </w:tc>
        <w:tc>
          <w:tcPr>
            <w:tcW w:w="1118" w:type="dxa"/>
            <w:vAlign w:val="top"/>
          </w:tcPr>
          <w:p>
            <w:pPr>
              <w:pStyle w:val="63"/>
              <w:rPr>
                <w:lang w:eastAsia="en-GB"/>
              </w:rPr>
            </w:pPr>
            <w:r>
              <w:rPr>
                <w:lang w:eastAsia="en-GB"/>
              </w:rPr>
              <w:t>applicable</w:t>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8.4</w:t>
            </w:r>
          </w:p>
        </w:tc>
        <w:tc>
          <w:tcPr>
            <w:tcW w:w="3169" w:type="dxa"/>
            <w:vAlign w:val="top"/>
          </w:tcPr>
          <w:p>
            <w:pPr>
              <w:pStyle w:val="63"/>
              <w:rPr>
                <w:lang w:eastAsia="en-GB"/>
              </w:rPr>
            </w:pPr>
            <w:r>
              <w:rPr>
                <w:lang w:eastAsia="en-GB"/>
              </w:rPr>
              <w:t>CISPR </w:t>
            </w:r>
            <w:r>
              <w:rPr>
                <w:rFonts w:hint="eastAsia"/>
                <w:lang w:val="en-US" w:eastAsia="zh-CN"/>
              </w:rPr>
              <w:t>3</w:t>
            </w:r>
            <w:r>
              <w:rPr>
                <w:lang w:eastAsia="en-GB"/>
              </w:rPr>
              <w:t>2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trHeight w:val="396" w:hRule="atLeast"/>
          <w:jc w:val="center"/>
        </w:trPr>
        <w:tc>
          <w:tcPr>
            <w:tcW w:w="1669" w:type="dxa"/>
            <w:vAlign w:val="top"/>
          </w:tcPr>
          <w:p>
            <w:pPr>
              <w:pStyle w:val="63"/>
              <w:rPr>
                <w:lang w:eastAsia="en-GB"/>
              </w:rPr>
            </w:pPr>
            <w:r>
              <w:rPr>
                <w:lang w:eastAsia="en-GB"/>
              </w:rPr>
              <w:t>Conducted emission</w:t>
            </w:r>
          </w:p>
        </w:tc>
        <w:tc>
          <w:tcPr>
            <w:tcW w:w="1726" w:type="dxa"/>
            <w:vAlign w:val="top"/>
          </w:tcPr>
          <w:p>
            <w:pPr>
              <w:pStyle w:val="63"/>
              <w:rPr>
                <w:lang w:eastAsia="en-GB"/>
              </w:rPr>
            </w:pPr>
            <w:r>
              <w:rPr>
                <w:rFonts w:hint="eastAsia"/>
                <w:lang w:eastAsia="zh-CN"/>
              </w:rPr>
              <w:t>Telecommunication</w:t>
            </w:r>
            <w:r>
              <w:rPr>
                <w:lang w:eastAsia="en-GB"/>
              </w:rPr>
              <w:t xml:space="preserve"> port</w:t>
            </w:r>
          </w:p>
        </w:tc>
        <w:tc>
          <w:tcPr>
            <w:tcW w:w="1118" w:type="dxa"/>
            <w:vAlign w:val="top"/>
          </w:tcPr>
          <w:p>
            <w:pPr>
              <w:pStyle w:val="63"/>
              <w:rPr>
                <w:lang w:eastAsia="en-GB"/>
              </w:rPr>
            </w:pPr>
            <w:r>
              <w:rPr>
                <w:lang w:eastAsia="en-GB"/>
              </w:rPr>
              <w:t>applicable</w:t>
            </w:r>
            <w:r>
              <w:rPr>
                <w:lang w:eastAsia="en-GB"/>
              </w:rPr>
              <w:br w:type="textWrapping"/>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w:t>
            </w:r>
            <w:r>
              <w:rPr>
                <w:rFonts w:hint="eastAsia"/>
                <w:lang w:val="en-US" w:eastAsia="zh-CN"/>
              </w:rPr>
              <w:t>5</w:t>
            </w:r>
          </w:p>
        </w:tc>
        <w:tc>
          <w:tcPr>
            <w:tcW w:w="3169" w:type="dxa"/>
            <w:vAlign w:val="top"/>
          </w:tcPr>
          <w:p>
            <w:pPr>
              <w:pStyle w:val="63"/>
              <w:rPr>
                <w:lang w:eastAsia="en-GB"/>
              </w:rPr>
            </w:pPr>
            <w:r>
              <w:rPr>
                <w:lang w:eastAsia="en-GB"/>
              </w:rPr>
              <w:t xml:space="preserve">CISPR </w:t>
            </w:r>
            <w:r>
              <w:rPr>
                <w:rFonts w:hint="eastAsia"/>
                <w:lang w:val="en-US" w:eastAsia="zh-CN"/>
              </w:rPr>
              <w:t>3</w:t>
            </w:r>
            <w:r>
              <w:rPr>
                <w:lang w:eastAsia="en-GB"/>
              </w:rPr>
              <w:t>2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63"/>
              <w:rPr>
                <w:lang w:eastAsia="en-GB"/>
              </w:rPr>
            </w:pPr>
            <w:r>
              <w:rPr>
                <w:lang w:eastAsia="en-GB"/>
              </w:rPr>
              <w:t>Harmonic current emissions</w:t>
            </w:r>
          </w:p>
        </w:tc>
        <w:tc>
          <w:tcPr>
            <w:tcW w:w="1726" w:type="dxa"/>
            <w:vAlign w:val="top"/>
          </w:tcPr>
          <w:p>
            <w:pPr>
              <w:pStyle w:val="63"/>
              <w:rPr>
                <w:lang w:eastAsia="en-GB"/>
              </w:rPr>
            </w:pPr>
            <w:r>
              <w:rPr>
                <w:lang w:eastAsia="en-GB"/>
              </w:rPr>
              <w:t>AC mains input port</w:t>
            </w:r>
          </w:p>
        </w:tc>
        <w:tc>
          <w:tcPr>
            <w:tcW w:w="1118" w:type="dxa"/>
            <w:vAlign w:val="top"/>
          </w:tcPr>
          <w:p>
            <w:pPr>
              <w:pStyle w:val="63"/>
              <w:rPr>
                <w:lang w:eastAsia="en-GB"/>
              </w:rPr>
            </w:pPr>
            <w:r>
              <w:rPr>
                <w:lang w:eastAsia="en-GB"/>
              </w:rPr>
              <w:t>applicable</w:t>
            </w:r>
          </w:p>
        </w:tc>
        <w:tc>
          <w:tcPr>
            <w:tcW w:w="1044" w:type="dxa"/>
            <w:vAlign w:val="top"/>
          </w:tcPr>
          <w:p>
            <w:pPr>
              <w:pStyle w:val="63"/>
              <w:rPr>
                <w:lang w:eastAsia="en-GB"/>
              </w:rPr>
            </w:pPr>
            <w:r>
              <w:rPr>
                <w:lang w:eastAsia="en-GB"/>
              </w:rPr>
              <w:t xml:space="preserve"> applicable</w:t>
            </w:r>
          </w:p>
        </w:tc>
        <w:tc>
          <w:tcPr>
            <w:tcW w:w="1131" w:type="dxa"/>
            <w:vAlign w:val="top"/>
          </w:tcPr>
          <w:p>
            <w:pPr>
              <w:pStyle w:val="63"/>
              <w:rPr>
                <w:lang w:eastAsia="en-GB"/>
              </w:rPr>
            </w:pPr>
            <w:r>
              <w:rPr>
                <w:lang w:eastAsia="en-GB"/>
              </w:rPr>
              <w:t>8.</w:t>
            </w:r>
            <w:r>
              <w:rPr>
                <w:rFonts w:hint="eastAsia"/>
                <w:lang w:val="en-US" w:eastAsia="zh-CN"/>
              </w:rPr>
              <w:t>6</w:t>
            </w:r>
          </w:p>
        </w:tc>
        <w:tc>
          <w:tcPr>
            <w:tcW w:w="3169" w:type="dxa"/>
            <w:vAlign w:val="top"/>
          </w:tcPr>
          <w:p>
            <w:pPr>
              <w:pStyle w:val="63"/>
              <w:rPr>
                <w:lang w:eastAsia="en-GB"/>
              </w:rPr>
            </w:pPr>
            <w:r>
              <w:rPr>
                <w:lang w:eastAsia="en-GB"/>
              </w:rPr>
              <w:t>IEC 61000-3-2 [13] or</w:t>
            </w:r>
            <w:r>
              <w:rPr>
                <w:lang w:eastAsia="en-GB"/>
              </w:rPr>
              <w:br w:type="textWrapping"/>
            </w:r>
            <w:r>
              <w:rPr>
                <w:lang w:eastAsia="en-GB"/>
              </w:rPr>
              <w:t xml:space="preserve"> IEC 61000-3-12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trHeight w:val="643" w:hRule="atLeast"/>
          <w:jc w:val="center"/>
        </w:trPr>
        <w:tc>
          <w:tcPr>
            <w:tcW w:w="1669" w:type="dxa"/>
            <w:vAlign w:val="top"/>
          </w:tcPr>
          <w:p>
            <w:pPr>
              <w:pStyle w:val="63"/>
              <w:rPr>
                <w:lang w:eastAsia="en-GB"/>
              </w:rPr>
            </w:pPr>
            <w:r>
              <w:rPr>
                <w:lang w:eastAsia="en-GB"/>
              </w:rPr>
              <w:t>Voltage fluctuations and flicker</w:t>
            </w:r>
          </w:p>
        </w:tc>
        <w:tc>
          <w:tcPr>
            <w:tcW w:w="1726" w:type="dxa"/>
            <w:vAlign w:val="top"/>
          </w:tcPr>
          <w:p>
            <w:pPr>
              <w:pStyle w:val="63"/>
              <w:rPr>
                <w:lang w:eastAsia="en-GB"/>
              </w:rPr>
            </w:pPr>
            <w:r>
              <w:rPr>
                <w:lang w:eastAsia="en-GB"/>
              </w:rPr>
              <w:t>AC mains input port</w:t>
            </w:r>
          </w:p>
        </w:tc>
        <w:tc>
          <w:tcPr>
            <w:tcW w:w="1118" w:type="dxa"/>
            <w:vAlign w:val="top"/>
          </w:tcPr>
          <w:p>
            <w:pPr>
              <w:pStyle w:val="63"/>
              <w:rPr>
                <w:lang w:eastAsia="en-GB"/>
              </w:rPr>
            </w:pPr>
            <w:r>
              <w:rPr>
                <w:lang w:eastAsia="en-GB"/>
              </w:rPr>
              <w:t>applicable</w:t>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w:t>
            </w:r>
            <w:r>
              <w:rPr>
                <w:rFonts w:hint="eastAsia"/>
                <w:lang w:val="en-US" w:eastAsia="zh-CN"/>
              </w:rPr>
              <w:t>7</w:t>
            </w:r>
          </w:p>
        </w:tc>
        <w:tc>
          <w:tcPr>
            <w:tcW w:w="3169" w:type="dxa"/>
            <w:vAlign w:val="top"/>
          </w:tcPr>
          <w:p>
            <w:pPr>
              <w:pStyle w:val="63"/>
              <w:rPr>
                <w:lang w:eastAsia="en-GB"/>
              </w:rPr>
            </w:pPr>
            <w:r>
              <w:rPr>
                <w:lang w:eastAsia="en-GB"/>
              </w:rPr>
              <w:t xml:space="preserve">IEC 61000-3-3 [15] </w:t>
            </w:r>
            <w:r>
              <w:rPr>
                <w:lang w:eastAsia="zh-CN"/>
              </w:rPr>
              <w:t>] or</w:t>
            </w:r>
            <w:r>
              <w:rPr>
                <w:lang w:eastAsia="zh-CN"/>
              </w:rPr>
              <w:br w:type="textWrapping"/>
            </w:r>
            <w:r>
              <w:rPr>
                <w:lang w:eastAsia="zh-CN"/>
              </w:rPr>
              <w:t xml:space="preserve"> IEC 61000-3-11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trHeight w:val="233" w:hRule="atLeast"/>
          <w:jc w:val="center"/>
        </w:trPr>
        <w:tc>
          <w:tcPr>
            <w:tcW w:w="9857" w:type="dxa"/>
            <w:gridSpan w:val="6"/>
            <w:vAlign w:val="top"/>
          </w:tcPr>
          <w:p>
            <w:pPr>
              <w:pStyle w:val="75"/>
              <w:rPr>
                <w:rFonts w:hint="eastAsia"/>
                <w:lang w:val="en-US" w:eastAsia="en-GB"/>
              </w:rPr>
            </w:pPr>
            <w:r>
              <w:rPr>
                <w:lang w:eastAsia="en-GB"/>
              </w:rPr>
              <w:t>N</w:t>
            </w:r>
            <w:r>
              <w:rPr>
                <w:lang w:eastAsia="zh-CN"/>
              </w:rPr>
              <w:t>OTE</w:t>
            </w:r>
            <w:r>
              <w:rPr>
                <w:lang w:eastAsia="en-GB"/>
              </w:rPr>
              <w:t xml:space="preserve"> 1:</w:t>
            </w:r>
            <w:r>
              <w:rPr>
                <w:lang w:eastAsia="en-GB"/>
              </w:rPr>
              <w:tab/>
            </w:r>
            <w:r>
              <w:rPr>
                <w:rFonts w:hint="eastAsia"/>
                <w:lang w:val="en-US" w:eastAsia="zh-CN"/>
              </w:rPr>
              <w:t xml:space="preserve">Radiated </w:t>
            </w:r>
            <w:r>
              <w:rPr>
                <w:lang w:val="en-US" w:eastAsia="zh-CN"/>
              </w:rPr>
              <w:t>e</w:t>
            </w:r>
            <w:r>
              <w:rPr>
                <w:rFonts w:hint="eastAsia"/>
                <w:lang w:val="en-US" w:eastAsia="zh-CN"/>
              </w:rPr>
              <w:t xml:space="preserve">mission requirements for BS </w:t>
            </w:r>
            <w:r>
              <w:rPr>
                <w:lang w:val="en-US" w:eastAsia="zh-CN"/>
              </w:rPr>
              <w:t xml:space="preserve">type </w:t>
            </w:r>
            <w:r>
              <w:rPr>
                <w:rFonts w:hint="eastAsia"/>
                <w:lang w:val="en-US" w:eastAsia="zh-CN"/>
              </w:rPr>
              <w:t xml:space="preserve">1-O and </w:t>
            </w:r>
            <w:r>
              <w:rPr>
                <w:lang w:val="en-US" w:eastAsia="zh-CN"/>
              </w:rPr>
              <w:t xml:space="preserve">BS type </w:t>
            </w:r>
            <w:r>
              <w:rPr>
                <w:rFonts w:hint="eastAsia"/>
                <w:lang w:val="en-US" w:eastAsia="zh-CN"/>
              </w:rPr>
              <w:t xml:space="preserve">2-O are described in subclause 8.2.1. </w:t>
            </w:r>
          </w:p>
        </w:tc>
      </w:tr>
    </w:tbl>
    <w:p>
      <w:pPr>
        <w:rPr>
          <w:rFonts w:hint="eastAsia"/>
          <w:lang w:val="en-US" w:eastAsia="zh-CN"/>
        </w:rPr>
      </w:pPr>
      <w:r>
        <w:rPr>
          <w:rFonts w:hint="eastAsia"/>
          <w:lang w:val="en-US" w:eastAsia="zh-CN"/>
        </w:rPr>
        <w:br w:type="page"/>
      </w:r>
    </w:p>
    <w:p>
      <w:pPr>
        <w:ind w:firstLine="280" w:firstLineChars="0"/>
        <w:jc w:val="center"/>
        <w:rPr>
          <w:rFonts w:hint="eastAsia"/>
          <w:lang w:val="en-US" w:eastAsia="zh-CN"/>
        </w:rPr>
      </w:pPr>
      <w:r>
        <w:rPr>
          <w:rFonts w:hint="eastAsia"/>
          <w:lang w:val="en-US" w:eastAsia="zh-CN"/>
        </w:rPr>
        <w:t xml:space="preserve">Table 2 </w:t>
      </w:r>
      <w:r>
        <w:rPr>
          <w:lang w:eastAsia="en-GB"/>
        </w:rPr>
        <w:t>Immunity requirements applicability</w:t>
      </w:r>
    </w:p>
    <w:tbl>
      <w:tblPr>
        <w:tblStyle w:val="52"/>
        <w:tblW w:w="97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976"/>
        <w:gridCol w:w="1746"/>
        <w:gridCol w:w="1213"/>
        <w:gridCol w:w="1241"/>
        <w:gridCol w:w="1757"/>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Merge w:val="restart"/>
            <w:vAlign w:val="center"/>
          </w:tcPr>
          <w:p>
            <w:pPr>
              <w:pStyle w:val="62"/>
              <w:rPr>
                <w:rFonts w:cs="Arial"/>
                <w:lang w:eastAsia="en-GB"/>
              </w:rPr>
            </w:pPr>
            <w:r>
              <w:rPr>
                <w:rFonts w:cs="Arial"/>
                <w:lang w:eastAsia="en-GB"/>
              </w:rPr>
              <w:t>Phenomenon</w:t>
            </w:r>
          </w:p>
        </w:tc>
        <w:tc>
          <w:tcPr>
            <w:tcW w:w="1746" w:type="dxa"/>
            <w:vMerge w:val="restart"/>
            <w:vAlign w:val="center"/>
          </w:tcPr>
          <w:p>
            <w:pPr>
              <w:pStyle w:val="62"/>
              <w:rPr>
                <w:rFonts w:cs="Arial"/>
                <w:lang w:eastAsia="en-GB"/>
              </w:rPr>
            </w:pPr>
            <w:r>
              <w:rPr>
                <w:rFonts w:cs="Arial"/>
                <w:lang w:eastAsia="en-GB"/>
              </w:rPr>
              <w:t>Application</w:t>
            </w:r>
          </w:p>
        </w:tc>
        <w:tc>
          <w:tcPr>
            <w:tcW w:w="2454" w:type="dxa"/>
            <w:gridSpan w:val="2"/>
            <w:vAlign w:val="center"/>
          </w:tcPr>
          <w:p>
            <w:pPr>
              <w:pStyle w:val="62"/>
              <w:rPr>
                <w:rFonts w:cs="Arial"/>
                <w:lang w:eastAsia="en-GB"/>
              </w:rPr>
            </w:pPr>
            <w:r>
              <w:rPr>
                <w:rFonts w:cs="Arial"/>
                <w:lang w:eastAsia="en-GB"/>
              </w:rPr>
              <w:t>Equipment test requirement</w:t>
            </w:r>
          </w:p>
        </w:tc>
        <w:tc>
          <w:tcPr>
            <w:tcW w:w="1757" w:type="dxa"/>
            <w:vMerge w:val="restart"/>
            <w:vAlign w:val="center"/>
          </w:tcPr>
          <w:p>
            <w:pPr>
              <w:pStyle w:val="62"/>
              <w:rPr>
                <w:rFonts w:cs="Arial"/>
                <w:lang w:eastAsia="en-GB"/>
              </w:rPr>
            </w:pPr>
            <w:r>
              <w:rPr>
                <w:rFonts w:cs="Arial"/>
                <w:lang w:eastAsia="en-GB"/>
              </w:rPr>
              <w:t>Reference</w:t>
            </w:r>
          </w:p>
          <w:p>
            <w:pPr>
              <w:pStyle w:val="62"/>
              <w:rPr>
                <w:rFonts w:cs="Arial"/>
                <w:lang w:eastAsia="en-GB"/>
              </w:rPr>
            </w:pPr>
            <w:r>
              <w:rPr>
                <w:rFonts w:cs="Arial"/>
                <w:lang w:eastAsia="en-GB"/>
              </w:rPr>
              <w:t>subclause in the present document</w:t>
            </w:r>
          </w:p>
        </w:tc>
        <w:tc>
          <w:tcPr>
            <w:tcW w:w="1813" w:type="dxa"/>
            <w:vMerge w:val="restart"/>
            <w:vAlign w:val="center"/>
          </w:tcPr>
          <w:p>
            <w:pPr>
              <w:pStyle w:val="62"/>
              <w:rPr>
                <w:rFonts w:cs="Arial"/>
                <w:lang w:eastAsia="en-GB"/>
              </w:rPr>
            </w:pPr>
            <w:r>
              <w:rPr>
                <w:rFonts w:cs="Arial"/>
                <w:lang w:eastAsia="en-GB"/>
              </w:rPr>
              <w:t>Reference</w:t>
            </w:r>
          </w:p>
          <w:p>
            <w:pPr>
              <w:pStyle w:val="62"/>
              <w:rPr>
                <w:rFonts w:cs="Arial"/>
                <w:lang w:eastAsia="en-GB"/>
              </w:rPr>
            </w:pPr>
            <w:r>
              <w:rPr>
                <w:rFonts w:cs="Arial"/>
                <w:lang w:eastAsia="en-GB"/>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Merge w:val="continue"/>
            <w:vAlign w:val="center"/>
          </w:tcPr>
          <w:p>
            <w:pPr>
              <w:keepNext/>
              <w:keepLines/>
              <w:jc w:val="center"/>
              <w:rPr>
                <w:rFonts w:ascii="Arial" w:hAnsi="Arial" w:cs="v4.2.0"/>
                <w:b/>
                <w:sz w:val="18"/>
                <w:lang w:eastAsia="en-GB"/>
              </w:rPr>
            </w:pPr>
          </w:p>
        </w:tc>
        <w:tc>
          <w:tcPr>
            <w:tcW w:w="1746" w:type="dxa"/>
            <w:vMerge w:val="continue"/>
            <w:vAlign w:val="center"/>
          </w:tcPr>
          <w:p>
            <w:pPr>
              <w:keepNext/>
              <w:keepLines/>
              <w:jc w:val="center"/>
              <w:rPr>
                <w:rFonts w:ascii="Arial" w:hAnsi="Arial" w:cs="v4.2.0"/>
                <w:b/>
                <w:sz w:val="18"/>
                <w:lang w:eastAsia="en-GB"/>
              </w:rPr>
            </w:pPr>
          </w:p>
        </w:tc>
        <w:tc>
          <w:tcPr>
            <w:tcW w:w="1213" w:type="dxa"/>
            <w:vAlign w:val="center"/>
          </w:tcPr>
          <w:p>
            <w:pPr>
              <w:pStyle w:val="62"/>
              <w:rPr>
                <w:rFonts w:cs="Arial"/>
                <w:lang w:eastAsia="en-GB"/>
              </w:rPr>
            </w:pPr>
            <w:r>
              <w:rPr>
                <w:rFonts w:cs="Arial"/>
                <w:lang w:eastAsia="en-GB"/>
              </w:rPr>
              <w:t>BS equipment</w:t>
            </w:r>
          </w:p>
        </w:tc>
        <w:tc>
          <w:tcPr>
            <w:tcW w:w="1241" w:type="dxa"/>
            <w:vAlign w:val="center"/>
          </w:tcPr>
          <w:p>
            <w:pPr>
              <w:pStyle w:val="62"/>
              <w:rPr>
                <w:rFonts w:cs="Arial"/>
                <w:lang w:eastAsia="en-GB"/>
              </w:rPr>
            </w:pPr>
            <w:r>
              <w:rPr>
                <w:rFonts w:cs="Arial"/>
                <w:lang w:eastAsia="en-GB"/>
              </w:rPr>
              <w:t>Ancillary equipment</w:t>
            </w:r>
          </w:p>
        </w:tc>
        <w:tc>
          <w:tcPr>
            <w:tcW w:w="1757" w:type="dxa"/>
            <w:vMerge w:val="continue"/>
            <w:vAlign w:val="center"/>
          </w:tcPr>
          <w:p>
            <w:pPr>
              <w:keepNext/>
              <w:keepLines/>
              <w:jc w:val="center"/>
              <w:rPr>
                <w:rFonts w:ascii="Arial" w:hAnsi="Arial" w:cs="v4.2.0"/>
                <w:b/>
                <w:sz w:val="18"/>
                <w:lang w:eastAsia="en-GB"/>
              </w:rPr>
            </w:pPr>
          </w:p>
        </w:tc>
        <w:tc>
          <w:tcPr>
            <w:tcW w:w="1813" w:type="dxa"/>
            <w:vMerge w:val="continue"/>
            <w:vAlign w:val="center"/>
          </w:tcPr>
          <w:p>
            <w:pPr>
              <w:keepNext/>
              <w:keepLines/>
              <w:jc w:val="center"/>
              <w:rPr>
                <w:rFonts w:ascii="Arial" w:hAnsi="Arial" w:cs="v4.2.0"/>
                <w:b/>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RF electro</w:t>
            </w:r>
            <w:r>
              <w:rPr>
                <w:rFonts w:cs="Arial"/>
                <w:lang w:eastAsia="en-GB"/>
              </w:rPr>
              <w:softHyphen/>
            </w:r>
            <w:r>
              <w:rPr>
                <w:rFonts w:cs="Arial"/>
                <w:lang w:eastAsia="en-GB"/>
              </w:rPr>
              <w:t xml:space="preserve">magnetic field </w:t>
            </w:r>
            <w:r>
              <w:rPr>
                <w:rFonts w:cs="Arial"/>
                <w:szCs w:val="22"/>
                <w:lang w:eastAsia="en-GB"/>
              </w:rPr>
              <w:t>(</w:t>
            </w:r>
            <w:r>
              <w:rPr>
                <w:rFonts w:hint="eastAsia" w:cs="Arial"/>
                <w:szCs w:val="22"/>
                <w:lang w:val="en-US" w:eastAsia="zh-CN"/>
              </w:rPr>
              <w:t xml:space="preserve">80 </w:t>
            </w:r>
            <w:r>
              <w:rPr>
                <w:rFonts w:cs="Arial"/>
                <w:szCs w:val="22"/>
                <w:lang w:val="en-US" w:eastAsia="zh-CN"/>
              </w:rPr>
              <w:t>–</w:t>
            </w:r>
            <w:r>
              <w:rPr>
                <w:rFonts w:hint="eastAsia" w:cs="Arial"/>
                <w:szCs w:val="22"/>
                <w:lang w:val="en-US" w:eastAsia="zh-CN"/>
              </w:rPr>
              <w:t xml:space="preserve"> 6000</w:t>
            </w:r>
            <w:r>
              <w:rPr>
                <w:rFonts w:cs="Arial"/>
                <w:szCs w:val="22"/>
                <w:lang w:val="en-US" w:eastAsia="zh-CN"/>
              </w:rPr>
              <w:t xml:space="preserve"> </w:t>
            </w:r>
            <w:r>
              <w:rPr>
                <w:rFonts w:hint="eastAsia" w:cs="Arial"/>
                <w:szCs w:val="22"/>
                <w:lang w:val="en-US" w:eastAsia="zh-CN"/>
              </w:rPr>
              <w:t>MHz</w:t>
            </w:r>
            <w:r>
              <w:rPr>
                <w:rFonts w:cs="Arial"/>
                <w:szCs w:val="22"/>
                <w:lang w:eastAsia="en-GB"/>
              </w:rPr>
              <w:t>)</w:t>
            </w:r>
          </w:p>
        </w:tc>
        <w:tc>
          <w:tcPr>
            <w:tcW w:w="1746" w:type="dxa"/>
            <w:vAlign w:val="top"/>
          </w:tcPr>
          <w:p>
            <w:pPr>
              <w:pStyle w:val="63"/>
              <w:rPr>
                <w:rFonts w:cs="Arial"/>
                <w:lang w:eastAsia="en-GB"/>
              </w:rPr>
            </w:pPr>
            <w:r>
              <w:rPr>
                <w:rFonts w:cs="Arial"/>
                <w:lang w:eastAsia="en-GB"/>
              </w:rPr>
              <w:t>Enclosure</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2</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3 [1</w:t>
            </w:r>
            <w:r>
              <w:rPr>
                <w:rFonts w:hint="eastAsia" w:cs="Arial"/>
                <w:lang w:val="en-US" w:eastAsia="zh-CN"/>
              </w:rPr>
              <w:t>8</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Electrostatic discharge</w:t>
            </w:r>
          </w:p>
        </w:tc>
        <w:tc>
          <w:tcPr>
            <w:tcW w:w="1746" w:type="dxa"/>
            <w:vAlign w:val="top"/>
          </w:tcPr>
          <w:p>
            <w:pPr>
              <w:pStyle w:val="63"/>
              <w:rPr>
                <w:rFonts w:cs="Arial"/>
                <w:lang w:eastAsia="en-GB"/>
              </w:rPr>
            </w:pPr>
            <w:r>
              <w:rPr>
                <w:rFonts w:cs="Arial"/>
                <w:lang w:eastAsia="en-GB"/>
              </w:rPr>
              <w:t>Enclosure</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3</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2 [1</w:t>
            </w:r>
            <w:r>
              <w:rPr>
                <w:rFonts w:hint="eastAsia" w:cs="Arial"/>
                <w:lang w:val="en-US" w:eastAsia="zh-CN"/>
              </w:rPr>
              <w:t>7</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Fast transients common mode</w:t>
            </w:r>
          </w:p>
        </w:tc>
        <w:tc>
          <w:tcPr>
            <w:tcW w:w="1746" w:type="dxa"/>
            <w:vAlign w:val="top"/>
          </w:tcPr>
          <w:p>
            <w:pPr>
              <w:pStyle w:val="63"/>
              <w:rPr>
                <w:rFonts w:cs="Arial"/>
                <w:lang w:eastAsia="en-GB"/>
              </w:rPr>
            </w:pPr>
            <w:r>
              <w:rPr>
                <w:rFonts w:cs="Arial"/>
                <w:lang w:eastAsia="en-GB"/>
              </w:rPr>
              <w:t>Signal, telecommunications and control ports, DC and AC power input ports</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4</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4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RF common mode</w:t>
            </w:r>
          </w:p>
          <w:p>
            <w:pPr>
              <w:pStyle w:val="63"/>
              <w:rPr>
                <w:rFonts w:cs="Arial"/>
                <w:lang w:eastAsia="en-GB"/>
              </w:rPr>
            </w:pPr>
            <w:r>
              <w:rPr>
                <w:rFonts w:cs="Arial"/>
                <w:lang w:eastAsia="en-GB"/>
              </w:rPr>
              <w:t>0.15 - 80 MHz</w:t>
            </w:r>
          </w:p>
        </w:tc>
        <w:tc>
          <w:tcPr>
            <w:tcW w:w="1746" w:type="dxa"/>
            <w:vAlign w:val="top"/>
          </w:tcPr>
          <w:p>
            <w:pPr>
              <w:pStyle w:val="63"/>
              <w:rPr>
                <w:rFonts w:cs="Arial"/>
                <w:lang w:eastAsia="en-GB"/>
              </w:rPr>
            </w:pPr>
            <w:r>
              <w:rPr>
                <w:rFonts w:cs="Arial"/>
                <w:lang w:eastAsia="en-GB"/>
              </w:rPr>
              <w:t>Signal, telecommunications and control ports, DC and AC power input ports</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5</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6 [2</w:t>
            </w:r>
            <w:r>
              <w:rPr>
                <w:rFonts w:hint="eastAsia" w:cs="Arial"/>
                <w:lang w:val="en-US" w:eastAsia="zh-CN"/>
              </w:rPr>
              <w:t>1</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Voltage dips and interruptions</w:t>
            </w:r>
          </w:p>
        </w:tc>
        <w:tc>
          <w:tcPr>
            <w:tcW w:w="1746" w:type="dxa"/>
            <w:vAlign w:val="top"/>
          </w:tcPr>
          <w:p>
            <w:pPr>
              <w:pStyle w:val="63"/>
              <w:rPr>
                <w:rFonts w:cs="Arial"/>
                <w:lang w:eastAsia="en-GB"/>
              </w:rPr>
            </w:pPr>
            <w:r>
              <w:rPr>
                <w:rFonts w:cs="Arial"/>
                <w:lang w:eastAsia="en-GB"/>
              </w:rPr>
              <w:t>AC mains power input ports</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6</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11 [2</w:t>
            </w:r>
            <w:r>
              <w:rPr>
                <w:rFonts w:hint="eastAsia" w:cs="Arial"/>
                <w:lang w:val="en-US" w:eastAsia="zh-CN"/>
              </w:rPr>
              <w:t>2</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Surges, common and differential mode</w:t>
            </w:r>
          </w:p>
        </w:tc>
        <w:tc>
          <w:tcPr>
            <w:tcW w:w="1746" w:type="dxa"/>
            <w:vAlign w:val="top"/>
          </w:tcPr>
          <w:p>
            <w:pPr>
              <w:pStyle w:val="63"/>
              <w:rPr>
                <w:rFonts w:cs="Arial"/>
                <w:lang w:eastAsia="en-GB"/>
              </w:rPr>
            </w:pPr>
            <w:r>
              <w:rPr>
                <w:rFonts w:cs="Arial"/>
                <w:lang w:eastAsia="en-GB"/>
              </w:rPr>
              <w:t xml:space="preserve"> AC power input ports and telecommunications port</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7</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5 [2</w:t>
            </w:r>
            <w:r>
              <w:rPr>
                <w:rFonts w:hint="eastAsia" w:cs="Arial"/>
                <w:lang w:val="en-US" w:eastAsia="zh-CN"/>
              </w:rPr>
              <w:t>0</w:t>
            </w:r>
            <w:r>
              <w:rPr>
                <w:rFonts w:cs="Arial"/>
                <w:lang w:eastAsia="en-GB"/>
              </w:rPr>
              <w:t>]</w:t>
            </w:r>
          </w:p>
        </w:tc>
      </w:tr>
    </w:tbl>
    <w:p>
      <w:pPr>
        <w:rPr>
          <w:rFonts w:hint="eastAsia"/>
          <w:lang w:val="en-US" w:eastAsia="zh-CN"/>
        </w:rPr>
      </w:pPr>
    </w:p>
    <w:p>
      <w:pPr>
        <w:ind w:firstLine="280" w:firstLineChars="0"/>
        <w:rPr>
          <w:rFonts w:hint="eastAsia"/>
          <w:lang w:val="en-US" w:eastAsia="zh-CN"/>
        </w:rPr>
      </w:pPr>
      <w:r>
        <w:rPr>
          <w:rFonts w:hint="eastAsia"/>
          <w:lang w:val="en-US" w:eastAsia="zh-CN"/>
        </w:rPr>
        <w:t>For emission tests in table 1, BS type 2-O share the same test configuration and test method for type 1-O BS, so there is no additional requirements for BS type 2-O compared to BS type 1-O.</w:t>
      </w:r>
    </w:p>
    <w:p>
      <w:pPr>
        <w:rPr>
          <w:rFonts w:hint="eastAsia"/>
          <w:lang w:val="en-US" w:eastAsia="zh-CN"/>
        </w:rPr>
      </w:pPr>
      <w:r>
        <w:rPr>
          <w:rFonts w:hint="eastAsia"/>
          <w:b/>
          <w:bCs/>
          <w:lang w:val="en-US" w:eastAsia="zh-CN"/>
        </w:rPr>
        <w:t>Proposal 1: For BS type 2-O, there is no additional requirement for emission test compared to BS type 1-O.</w:t>
      </w:r>
    </w:p>
    <w:p>
      <w:pPr>
        <w:ind w:firstLine="280" w:firstLineChars="0"/>
        <w:rPr>
          <w:rFonts w:hint="eastAsia"/>
          <w:lang w:val="en-US" w:eastAsia="zh-CN"/>
        </w:rPr>
      </w:pPr>
      <w:r>
        <w:rPr>
          <w:rFonts w:hint="eastAsia"/>
          <w:lang w:val="en-US" w:eastAsia="zh-CN"/>
        </w:rPr>
        <w:t>For immunity tests in table 2, the only test need to be treated differently is the RF electromagnetic filed test (80--6000MHz) which is called RI test in following discussion. As the operating band of FR1 is below 6GHz which will fall within the test frequency range of the RI test (80MHz--6GHz), to avoid the overlapping, the transmitter and receiver exclusion band for BS type 1-O are set in subclause 4.4 in TS 38.113[1] respectively:</w:t>
      </w:r>
    </w:p>
    <w:p>
      <w:pPr>
        <w:ind w:firstLine="280" w:firstLineChars="0"/>
        <w:rPr>
          <w:rFonts w:hint="eastAsia"/>
          <w:lang w:val="en-US" w:eastAsia="zh-CN"/>
        </w:rPr>
      </w:pPr>
      <w:r>
        <w:rPr>
          <w:rFonts w:hint="eastAsia"/>
          <w:lang w:val="en-US" w:eastAsia="zh-CN"/>
        </w:rPr>
        <w:t>1, Transmitter exclusion band: T</w:t>
      </w:r>
      <w:r>
        <w:rPr>
          <w:lang w:val="en-US"/>
        </w:rPr>
        <w:t>here is no transmitter exclusion ban</w:t>
      </w:r>
      <w:r>
        <w:rPr>
          <w:rFonts w:hint="eastAsia"/>
          <w:lang w:val="en-US" w:eastAsia="zh-CN"/>
        </w:rPr>
        <w:t xml:space="preserve">d. </w:t>
      </w:r>
    </w:p>
    <w:p>
      <w:pPr>
        <w:ind w:firstLine="280" w:firstLineChars="0"/>
        <w:rPr>
          <w:rFonts w:hint="eastAsia"/>
          <w:lang w:val="en-US" w:eastAsia="zh-CN"/>
        </w:rPr>
      </w:pPr>
      <w:r>
        <w:rPr>
          <w:rFonts w:hint="eastAsia"/>
          <w:lang w:val="en-US" w:eastAsia="zh-CN"/>
        </w:rPr>
        <w:t xml:space="preserve">2, Receiver exclusion band: </w:t>
      </w:r>
    </w:p>
    <w:p>
      <w:pPr>
        <w:ind w:firstLine="280" w:firstLineChars="0"/>
        <w:jc w:val="center"/>
        <w:rPr>
          <w:vertAlign w:val="subscript"/>
        </w:rPr>
      </w:pPr>
      <w:r>
        <w:t>F</w:t>
      </w:r>
      <w:r>
        <w:rPr>
          <w:vertAlign w:val="subscript"/>
        </w:rPr>
        <w:t>UL_low</w:t>
      </w:r>
      <w:r>
        <w:t xml:space="preserve">  – Δf</w:t>
      </w:r>
      <w:r>
        <w:rPr>
          <w:vertAlign w:val="subscript"/>
        </w:rPr>
        <w:t>OOB</w:t>
      </w:r>
      <w:r>
        <w:t>&lt;f &lt; F</w:t>
      </w:r>
      <w:r>
        <w:rPr>
          <w:vertAlign w:val="subscript"/>
        </w:rPr>
        <w:t>UL_high</w:t>
      </w:r>
      <w:r>
        <w:t xml:space="preserve"> + Δf</w:t>
      </w:r>
      <w:r>
        <w:rPr>
          <w:vertAlign w:val="subscript"/>
        </w:rPr>
        <w:t>OOB</w:t>
      </w:r>
    </w:p>
    <w:p>
      <w:pPr>
        <w:ind w:firstLine="280" w:firstLineChars="0"/>
        <w:jc w:val="left"/>
        <w:rPr>
          <w:rFonts w:hint="eastAsia"/>
          <w:vertAlign w:val="baseline"/>
          <w:lang w:val="en-US" w:eastAsia="zh-CN"/>
        </w:rPr>
      </w:pPr>
      <w:r>
        <w:t>Δf</w:t>
      </w:r>
      <w:r>
        <w:rPr>
          <w:vertAlign w:val="subscript"/>
        </w:rPr>
        <w:t>OOB</w:t>
      </w:r>
      <w:r>
        <w:rPr>
          <w:rFonts w:hint="eastAsia"/>
          <w:vertAlign w:val="subscript"/>
          <w:lang w:val="en-US" w:eastAsia="zh-CN"/>
        </w:rPr>
        <w:t xml:space="preserve"> </w:t>
      </w:r>
      <w:r>
        <w:rPr>
          <w:rFonts w:hint="eastAsia"/>
          <w:vertAlign w:val="baseline"/>
          <w:lang w:val="en-US" w:eastAsia="zh-CN"/>
        </w:rPr>
        <w:t>is defined in TS 38.104[2].</w:t>
      </w:r>
    </w:p>
    <w:p>
      <w:pPr>
        <w:ind w:firstLine="280" w:firstLineChars="0"/>
        <w:jc w:val="left"/>
        <w:rPr>
          <w:rFonts w:hint="eastAsia"/>
          <w:vertAlign w:val="baseline"/>
          <w:lang w:val="en-US" w:eastAsia="zh-CN"/>
        </w:rPr>
      </w:pPr>
      <w:r>
        <w:rPr>
          <w:rFonts w:hint="eastAsia"/>
          <w:vertAlign w:val="baseline"/>
          <w:lang w:val="en-US" w:eastAsia="zh-CN"/>
        </w:rPr>
        <w:t>For the BS type 2-O whose operating band is far beyond 6GHz, as the exclusion band is considering the overlapping of the Uplink frequency range and the test frequency range, there should be no receiver exclusion band for BS type 2-O.</w:t>
      </w:r>
    </w:p>
    <w:p>
      <w:pPr>
        <w:rPr>
          <w:rFonts w:hint="eastAsia"/>
          <w:b/>
          <w:bCs/>
          <w:lang w:val="en-US" w:eastAsia="zh-CN"/>
        </w:rPr>
      </w:pPr>
      <w:r>
        <w:rPr>
          <w:rFonts w:hint="eastAsia"/>
          <w:b/>
          <w:bCs/>
          <w:lang w:val="en-US" w:eastAsia="zh-CN"/>
        </w:rPr>
        <w:t>Proposal 2: For BS type 2-O, there is no receiver exclusion band.</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compared the requirements of BS type 2-O to requirements of BS type 1-O and the proposal are provided as:</w:t>
      </w:r>
    </w:p>
    <w:p>
      <w:pPr>
        <w:rPr>
          <w:rFonts w:hint="eastAsia"/>
          <w:b/>
          <w:bCs/>
          <w:lang w:val="en-US" w:eastAsia="zh-CN"/>
        </w:rPr>
      </w:pPr>
      <w:r>
        <w:rPr>
          <w:rFonts w:hint="eastAsia"/>
          <w:b/>
          <w:bCs/>
          <w:lang w:val="en-US" w:eastAsia="zh-CN"/>
        </w:rPr>
        <w:t>Proposal 1: For BS type 2-O, there is no additional requirement for emission test compared to BS type 1-O.</w:t>
      </w:r>
    </w:p>
    <w:p>
      <w:pPr>
        <w:rPr>
          <w:rFonts w:hint="eastAsia"/>
          <w:b/>
          <w:bCs/>
          <w:lang w:val="en-US" w:eastAsia="zh-CN"/>
        </w:rPr>
      </w:pPr>
      <w:r>
        <w:rPr>
          <w:rFonts w:hint="eastAsia"/>
          <w:b/>
          <w:bCs/>
          <w:lang w:val="en-US" w:eastAsia="zh-CN"/>
        </w:rPr>
        <w:t>Proposal 2: For BS type 2-O, there is no receiver exclusion band.</w:t>
      </w:r>
    </w:p>
    <w:p>
      <w:pPr>
        <w:pStyle w:val="2"/>
        <w:numPr>
          <w:ilvl w:val="0"/>
          <w:numId w:val="0"/>
        </w:numPr>
        <w:tabs>
          <w:tab w:val="clear" w:pos="432"/>
        </w:tabs>
        <w:ind w:leftChars="0"/>
        <w:rPr>
          <w:rFonts w:cs="Arial"/>
          <w:lang w:eastAsia="zh-CN"/>
        </w:rPr>
      </w:pPr>
      <w:r>
        <w:rPr>
          <w:rFonts w:cs="Arial"/>
          <w:lang w:eastAsia="zh-CN"/>
        </w:rPr>
        <w:t>References</w:t>
      </w:r>
    </w:p>
    <w:p>
      <w:pPr>
        <w:pStyle w:val="93"/>
        <w:numPr>
          <w:ilvl w:val="0"/>
          <w:numId w:val="7"/>
        </w:numPr>
        <w:spacing w:before="120" w:beforeLines="0" w:after="120" w:afterLines="0"/>
        <w:ind w:left="726" w:hanging="363"/>
        <w:rPr>
          <w:lang w:eastAsia="zh-CN"/>
        </w:rPr>
      </w:pPr>
      <w:r>
        <w:rPr>
          <w:rFonts w:hint="eastAsia"/>
          <w:lang w:val="en-US" w:eastAsia="zh-CN"/>
        </w:rPr>
        <w:t>TS 38.113 v15.1.0</w:t>
      </w:r>
    </w:p>
    <w:p>
      <w:pPr>
        <w:pStyle w:val="93"/>
        <w:numPr>
          <w:ilvl w:val="0"/>
          <w:numId w:val="7"/>
        </w:numPr>
        <w:spacing w:before="120" w:beforeLines="0" w:after="120" w:afterLines="0"/>
        <w:ind w:left="726" w:hanging="363"/>
        <w:rPr>
          <w:rFonts w:eastAsia="MS Mincho"/>
          <w:sz w:val="22"/>
          <w:szCs w:val="22"/>
          <w:lang w:eastAsia="zh-CN"/>
        </w:rPr>
      </w:pPr>
      <w:r>
        <w:rPr>
          <w:rFonts w:hint="eastAsia"/>
          <w:lang w:val="en-US" w:eastAsia="zh-CN"/>
        </w:rPr>
        <w:t>TS 38.104 v15.1.0</w:t>
      </w:r>
    </w:p>
    <w:p>
      <w:pPr>
        <w:pStyle w:val="93"/>
        <w:numPr>
          <w:ilvl w:val="0"/>
          <w:numId w:val="0"/>
        </w:numPr>
        <w:tabs>
          <w:tab w:val="clear" w:pos="720"/>
        </w:tabs>
        <w:spacing w:before="120" w:beforeLines="0" w:after="120" w:afterLines="0"/>
        <w:ind w:left="363" w:leftChars="0"/>
        <w:rPr>
          <w:rFonts w:eastAsia="MS Mincho"/>
          <w:sz w:val="22"/>
          <w:szCs w:val="22"/>
          <w:lang w:eastAsia="zh-CN"/>
        </w:rPr>
      </w:pP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ZapfDingbats">
    <w:altName w:val="Latha"/>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T11">
    <w:altName w:val="MS Mincho"/>
    <w:panose1 w:val="00000000000000000000"/>
    <w:charset w:val="80"/>
    <w:family w:val="swiss"/>
    <w:pitch w:val="default"/>
    <w:sig w:usb0="00000000" w:usb1="00000000" w:usb2="00000010" w:usb3="00000000" w:csb0="00020000" w:csb1="00000000"/>
  </w:font>
  <w:font w:name="TimesNewRoman">
    <w:altName w:val="Times New Roman"/>
    <w:panose1 w:val="00000000000000000000"/>
    <w:charset w:val="00"/>
    <w:family w:val="auto"/>
    <w:pitch w:val="default"/>
    <w:sig w:usb0="00000000" w:usb1="00000000" w:usb2="00000000" w:usb3="00000000" w:csb0="00000001" w:csb1="00000000"/>
  </w:font>
  <w:font w:name="Lath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Calibri Light">
    <w:altName w:val="Calibri"/>
    <w:panose1 w:val="020F0302020204030204"/>
    <w:charset w:val="00"/>
    <w:family w:val="swiss"/>
    <w:pitch w:val="default"/>
    <w:sig w:usb0="00000000" w:usb1="00000000" w:usb2="00000000" w:usb3="00000000" w:csb0="200001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
    <w:altName w:val="MS Mincho"/>
    <w:panose1 w:val="00000000000000000000"/>
    <w:charset w:val="80"/>
    <w:family w:val="roman"/>
    <w:pitch w:val="default"/>
    <w:sig w:usb0="00000000" w:usb1="00000000" w:usb2="00000010" w:usb3="00000000" w:csb0="00020000"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Verdana">
    <w:panose1 w:val="020B0604030504040204"/>
    <w:charset w:val="00"/>
    <w:family w:val="swiss"/>
    <w:pitch w:val="default"/>
    <w:sig w:usb0="A10006FF" w:usb1="4000205B" w:usb2="00000010" w:usb3="00000000" w:csb0="2000019F" w:csb1="00000000"/>
  </w:font>
  <w:font w:name="Arial">
    <w:panose1 w:val="020B0604020202020204"/>
    <w:charset w:val="86"/>
    <w:family w:val="auto"/>
    <w:pitch w:val="default"/>
    <w:sig w:usb0="E0002AFF" w:usb1="C0007843" w:usb2="00000009" w:usb3="00000000" w:csb0="400001FF" w:csb1="FFFF0000"/>
  </w:font>
  <w:font w:name="TimesNewRoman">
    <w:altName w:val="宋体"/>
    <w:panose1 w:val="00000000000000000000"/>
    <w:charset w:val="86"/>
    <w:family w:val="auto"/>
    <w:pitch w:val="default"/>
    <w:sig w:usb0="00000000" w:usb1="00000000" w:usb2="00000000" w:usb3="00000000" w:csb0="00040000" w:csb1="00000000"/>
  </w:font>
  <w:font w:name="v4.2.0">
    <w:altName w:val="Times New Roman"/>
    <w:panose1 w:val="00000000000000000000"/>
    <w:charset w:val="00"/>
    <w:family w:val="auto"/>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隶书">
    <w:altName w:val="微软雅黑"/>
    <w:panose1 w:val="02010509060101010101"/>
    <w:charset w:val="86"/>
    <w:family w:val="auto"/>
    <w:pitch w:val="default"/>
    <w:sig w:usb0="00000000" w:usb1="0000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MS PMincho">
    <w:panose1 w:val="02020600040205080304"/>
    <w:charset w:val="80"/>
    <w:family w:val="auto"/>
    <w:pitch w:val="default"/>
    <w:sig w:usb0="E00002FF" w:usb1="6AC7FDFB" w:usb2="00000012" w:usb3="00000000" w:csb0="4002009F" w:csb1="DFD70000"/>
  </w:font>
  <w:font w:name="Agency FB">
    <w:altName w:val="Malgun Gothic"/>
    <w:panose1 w:val="020B0503020202020204"/>
    <w:charset w:val="00"/>
    <w:family w:val="auto"/>
    <w:pitch w:val="default"/>
    <w:sig w:usb0="00000000" w:usb1="00000000" w:usb2="00000000" w:usb3="00000000" w:csb0="20000001" w:csb1="00000000"/>
  </w:font>
  <w:font w:name="Arial Narrow">
    <w:altName w:val="Arial"/>
    <w:panose1 w:val="020B0606020202030204"/>
    <w:charset w:val="00"/>
    <w:family w:val="auto"/>
    <w:pitch w:val="default"/>
    <w:sig w:usb0="00000000" w:usb1="00000000" w:usb2="00000000" w:usb3="00000000" w:csb0="2000009F" w:csb1="DFD70000"/>
  </w:font>
  <w:font w:name="Bernard MT Condensed">
    <w:altName w:val="Segoe Print"/>
    <w:panose1 w:val="02050806060905020404"/>
    <w:charset w:val="00"/>
    <w:family w:val="auto"/>
    <w:pitch w:val="default"/>
    <w:sig w:usb0="00000000" w:usb1="00000000" w:usb2="00000000" w:usb3="00000000" w:csb0="20000001" w:csb1="00000000"/>
  </w:font>
  <w:font w:name="Book Antiqua">
    <w:altName w:val="Segoe Print"/>
    <w:panose1 w:val="02040602050305030304"/>
    <w:charset w:val="00"/>
    <w:family w:val="auto"/>
    <w:pitch w:val="default"/>
    <w:sig w:usb0="00000000" w:usb1="00000000" w:usb2="00000000" w:usb3="00000000" w:csb0="2000009F" w:csb1="DFD70000"/>
  </w:font>
  <w:font w:name="Bookman Old Style">
    <w:altName w:val="Segoe Print"/>
    <w:panose1 w:val="02050604050505020204"/>
    <w:charset w:val="00"/>
    <w:family w:val="auto"/>
    <w:pitch w:val="default"/>
    <w:sig w:usb0="00000000" w:usb1="00000000" w:usb2="00000000" w:usb3="00000000" w:csb0="2000009F" w:csb1="DFD70000"/>
  </w:font>
  <w:font w:name="Brush Script MT">
    <w:altName w:val="Mongolian Baiti"/>
    <w:panose1 w:val="03060802040406070304"/>
    <w:charset w:val="00"/>
    <w:family w:val="auto"/>
    <w:pitch w:val="default"/>
    <w:sig w:usb0="00000000" w:usb1="00000000" w:usb2="00000000" w:usb3="00000000" w:csb0="20000001" w:csb1="00000000"/>
  </w:font>
  <w:font w:name="Calisto MT">
    <w:altName w:val="Segoe Print"/>
    <w:panose1 w:val="02040603050505030304"/>
    <w:charset w:val="00"/>
    <w:family w:val="auto"/>
    <w:pitch w:val="default"/>
    <w:sig w:usb0="00000000" w:usb1="00000000" w:usb2="00000000" w:usb3="00000000" w:csb0="20000001" w:csb1="00000000"/>
  </w:font>
  <w:font w:name="Castellar">
    <w:altName w:val="Segoe Print"/>
    <w:panose1 w:val="020A0402060406010301"/>
    <w:charset w:val="00"/>
    <w:family w:val="auto"/>
    <w:pitch w:val="default"/>
    <w:sig w:usb0="00000000" w:usb1="00000000" w:usb2="00000000" w:usb3="00000000" w:csb0="20000001" w:csb1="00000000"/>
  </w:font>
  <w:font w:name="Century">
    <w:altName w:val="Nyala"/>
    <w:panose1 w:val="02040604050505020304"/>
    <w:charset w:val="00"/>
    <w:family w:val="auto"/>
    <w:pitch w:val="default"/>
    <w:sig w:usb0="00000000" w:usb1="00000000" w:usb2="00000000" w:usb3="00000000" w:csb0="2000009F" w:csb1="DFD70000"/>
  </w:font>
  <w:font w:name="Colonna MT">
    <w:altName w:val="Gabriola"/>
    <w:panose1 w:val="04020805060202030203"/>
    <w:charset w:val="00"/>
    <w:family w:val="auto"/>
    <w:pitch w:val="default"/>
    <w:sig w:usb0="00000000" w:usb1="00000000" w:usb2="00000000" w:usb3="00000000" w:csb0="20000001" w:csb1="00000000"/>
  </w:font>
  <w:font w:name="Chiller">
    <w:altName w:val="Gabriola"/>
    <w:panose1 w:val="04020404031007020602"/>
    <w:charset w:val="00"/>
    <w:family w:val="auto"/>
    <w:pitch w:val="default"/>
    <w:sig w:usb0="00000000" w:usb1="00000000" w:usb2="00000000" w:usb3="00000000" w:csb0="20000001" w:csb1="00000000"/>
  </w:font>
  <w:font w:name="Comic Sans MS">
    <w:panose1 w:val="030F0702030302020204"/>
    <w:charset w:val="00"/>
    <w:family w:val="auto"/>
    <w:pitch w:val="default"/>
    <w:sig w:usb0="00000287" w:usb1="00000000" w:usb2="00000000" w:usb3="00000000" w:csb0="2000009F" w:csb1="00000000"/>
  </w:font>
  <w:font w:name="Constantia">
    <w:panose1 w:val="02030602050306030303"/>
    <w:charset w:val="00"/>
    <w:family w:val="auto"/>
    <w:pitch w:val="default"/>
    <w:sig w:usb0="A00002EF" w:usb1="4000204B" w:usb2="00000000" w:usb3="00000000" w:csb0="2000019F" w:csb1="00000000"/>
  </w:font>
  <w:font w:name="Cooper Black">
    <w:altName w:val="Segoe Print"/>
    <w:panose1 w:val="0208090404030B020404"/>
    <w:charset w:val="00"/>
    <w:family w:val="auto"/>
    <w:pitch w:val="default"/>
    <w:sig w:usb0="00000000" w:usb1="00000000" w:usb2="00000000" w:usb3="00000000" w:csb0="20000001" w:csb1="00000000"/>
  </w:font>
  <w:font w:name="Copperplate Gothic Bold">
    <w:altName w:val="Segoe Print"/>
    <w:panose1 w:val="020E0705020206020404"/>
    <w:charset w:val="00"/>
    <w:family w:val="auto"/>
    <w:pitch w:val="default"/>
    <w:sig w:usb0="00000000" w:usb1="00000000" w:usb2="00000000" w:usb3="00000000" w:csb0="20000001" w:csb1="00000000"/>
  </w:font>
  <w:font w:name="Cordia New">
    <w:panose1 w:val="020B0304020202020204"/>
    <w:charset w:val="00"/>
    <w:family w:val="auto"/>
    <w:pitch w:val="default"/>
    <w:sig w:usb0="81000003" w:usb1="00000000" w:usb2="00000000" w:usb3="00000000" w:csb0="00010001" w:csb1="00000000"/>
  </w:font>
  <w:font w:name="Corbel">
    <w:panose1 w:val="020B0503020204020204"/>
    <w:charset w:val="00"/>
    <w:family w:val="auto"/>
    <w:pitch w:val="default"/>
    <w:sig w:usb0="A00002EF" w:usb1="4000A44B" w:usb2="00000000" w:usb3="00000000" w:csb0="2000019F" w:csb1="00000000"/>
  </w:font>
  <w:font w:name="Curlz MT">
    <w:altName w:val="Gabriola"/>
    <w:panose1 w:val="04040404050702020202"/>
    <w:charset w:val="00"/>
    <w:family w:val="auto"/>
    <w:pitch w:val="default"/>
    <w:sig w:usb0="00000000" w:usb1="00000000" w:usb2="00000000" w:usb3="00000000" w:csb0="20000001" w:csb1="00000000"/>
  </w:font>
  <w:font w:name="CordiaUPC">
    <w:panose1 w:val="020B0304020202020204"/>
    <w:charset w:val="00"/>
    <w:family w:val="auto"/>
    <w:pitch w:val="default"/>
    <w:sig w:usb0="81000003" w:usb1="00000000" w:usb2="00000000" w:usb3="00000000" w:csb0="00010001" w:csb1="00000000"/>
  </w:font>
  <w:font w:name="OCR A Extended">
    <w:altName w:val="PMingLiU-ExtB"/>
    <w:panose1 w:val="02010509020102010303"/>
    <w:charset w:val="00"/>
    <w:family w:val="auto"/>
    <w:pitch w:val="default"/>
    <w:sig w:usb0="00000000" w:usb1="00000000" w:usb2="00000000" w:usb3="00000000" w:csb0="20000001" w:csb1="00000000"/>
  </w:font>
  <w:font w:name="Nyala">
    <w:panose1 w:val="02000504070300020003"/>
    <w:charset w:val="00"/>
    <w:family w:val="auto"/>
    <w:pitch w:val="default"/>
    <w:sig w:usb0="A000006F" w:usb1="00000000" w:usb2="00000800" w:usb3="00000000" w:csb0="00000093" w:csb1="00000000"/>
  </w:font>
  <w:font w:name="Niagara Solid">
    <w:altName w:val="Gabriola"/>
    <w:panose1 w:val="04020502070702020202"/>
    <w:charset w:val="00"/>
    <w:family w:val="auto"/>
    <w:pitch w:val="default"/>
    <w:sig w:usb0="00000000" w:usb1="00000000" w:usb2="00000000" w:usb3="00000000" w:csb0="20000001" w:csb1="00000000"/>
  </w:font>
  <w:font w:name="Niagara Engraved">
    <w:altName w:val="Gabriola"/>
    <w:panose1 w:val="04020502070703030202"/>
    <w:charset w:val="00"/>
    <w:family w:val="auto"/>
    <w:pitch w:val="default"/>
    <w:sig w:usb0="00000000" w:usb1="00000000" w:usb2="00000000" w:usb3="00000000" w:csb0="20000001" w:csb1="00000000"/>
  </w:font>
  <w:font w:name="Mongolian Baiti">
    <w:panose1 w:val="03000500000000000000"/>
    <w:charset w:val="00"/>
    <w:family w:val="auto"/>
    <w:pitch w:val="default"/>
    <w:sig w:usb0="80000023" w:usb1="00000000" w:usb2="00020000" w:usb3="00000000" w:csb0="00000001" w:csb1="00000000"/>
  </w:font>
  <w:font w:name="Gabriola">
    <w:panose1 w:val="04040605051002020D02"/>
    <w:charset w:val="00"/>
    <w:family w:val="auto"/>
    <w:pitch w:val="default"/>
    <w:sig w:usb0="E00002EF" w:usb1="5000204B" w:usb2="00000000" w:usb3="00000000" w:csb0="2000009F" w:csb1="00000000"/>
  </w:font>
  <w:font w:name="PMingLiU-ExtB">
    <w:panose1 w:val="02020500000000000000"/>
    <w:charset w:val="88"/>
    <w:family w:val="auto"/>
    <w:pitch w:val="default"/>
    <w:sig w:usb0="8000002F" w:usb1="02000008" w:usb2="00000000" w:usb3="00000000" w:csb0="00100001" w:csb1="00000000"/>
  </w:font>
  <w:font w:name="PMingLiU">
    <w:panose1 w:val="02020500000000000000"/>
    <w:charset w:val="88"/>
    <w:family w:val="roman"/>
    <w:pitch w:val="default"/>
    <w:sig w:usb0="A00002FF" w:usb1="28CFFCFA" w:usb2="00000016" w:usb3="00000000" w:csb0="00100001" w:csb1="00000000"/>
  </w:font>
  <w:font w:name="New York">
    <w:altName w:val="Segoe Print"/>
    <w:panose1 w:val="02040503060506020304"/>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Wingdings">
    <w:panose1 w:val="05000000000000000000"/>
    <w:charset w:val="00"/>
    <w:family w:val="auto"/>
    <w:pitch w:val="default"/>
    <w:sig w:usb0="00000000" w:usb1="00000000" w:usb2="00000000" w:usb3="00000000" w:csb0="80000000" w:csb1="00000000"/>
  </w:font>
  <w:font w:name="sans-serif">
    <w:altName w:val="Segoe Print"/>
    <w:panose1 w:val="00000000000000000000"/>
    <w:charset w:val="00"/>
    <w:family w:val="auto"/>
    <w:pitch w:val="default"/>
    <w:sig w:usb0="00000000" w:usb1="00000000" w:usb2="00000000" w:usb3="00000000" w:csb0="00040001" w:csb1="00000000"/>
  </w:font>
  <w:font w:name="微软雅黑">
    <w:panose1 w:val="020B0503020204020204"/>
    <w:charset w:val="02"/>
    <w:family w:val="modern"/>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1B7127"/>
    <w:rsid w:val="02C65454"/>
    <w:rsid w:val="031C4CB7"/>
    <w:rsid w:val="03AA77A6"/>
    <w:rsid w:val="04763DB6"/>
    <w:rsid w:val="047C7717"/>
    <w:rsid w:val="05963C46"/>
    <w:rsid w:val="092F347C"/>
    <w:rsid w:val="0BE16E54"/>
    <w:rsid w:val="0C90604D"/>
    <w:rsid w:val="0CBC21A6"/>
    <w:rsid w:val="0D885B5C"/>
    <w:rsid w:val="0D8A1C03"/>
    <w:rsid w:val="0E763984"/>
    <w:rsid w:val="0FBB53A3"/>
    <w:rsid w:val="10561550"/>
    <w:rsid w:val="108C25AB"/>
    <w:rsid w:val="11CE6ABD"/>
    <w:rsid w:val="12116912"/>
    <w:rsid w:val="13867FC8"/>
    <w:rsid w:val="139C0323"/>
    <w:rsid w:val="15B13CC5"/>
    <w:rsid w:val="166C0F69"/>
    <w:rsid w:val="1A670C75"/>
    <w:rsid w:val="1BB41235"/>
    <w:rsid w:val="1BDD4E03"/>
    <w:rsid w:val="1C3E5BEE"/>
    <w:rsid w:val="1D9D6581"/>
    <w:rsid w:val="1E9A2C7A"/>
    <w:rsid w:val="1F697F0E"/>
    <w:rsid w:val="1F825716"/>
    <w:rsid w:val="20484B28"/>
    <w:rsid w:val="21107C64"/>
    <w:rsid w:val="21472AD0"/>
    <w:rsid w:val="21C109E9"/>
    <w:rsid w:val="21D67E69"/>
    <w:rsid w:val="23597F29"/>
    <w:rsid w:val="24541EC9"/>
    <w:rsid w:val="288B0F82"/>
    <w:rsid w:val="28E63C49"/>
    <w:rsid w:val="29D25E5C"/>
    <w:rsid w:val="2CD613D2"/>
    <w:rsid w:val="2D153347"/>
    <w:rsid w:val="2D2A1CF1"/>
    <w:rsid w:val="2E0A65A8"/>
    <w:rsid w:val="30885017"/>
    <w:rsid w:val="31C725D8"/>
    <w:rsid w:val="32352858"/>
    <w:rsid w:val="33AC3E9B"/>
    <w:rsid w:val="346B6A82"/>
    <w:rsid w:val="35DA3A34"/>
    <w:rsid w:val="377F030D"/>
    <w:rsid w:val="39BD0890"/>
    <w:rsid w:val="3CAA1627"/>
    <w:rsid w:val="3E2E3C0E"/>
    <w:rsid w:val="3E3602D5"/>
    <w:rsid w:val="3EE436F8"/>
    <w:rsid w:val="405209B8"/>
    <w:rsid w:val="414D70C7"/>
    <w:rsid w:val="422431F5"/>
    <w:rsid w:val="424B558A"/>
    <w:rsid w:val="426B0E00"/>
    <w:rsid w:val="43F45753"/>
    <w:rsid w:val="45D61D1B"/>
    <w:rsid w:val="467823B0"/>
    <w:rsid w:val="4A015527"/>
    <w:rsid w:val="4B112B71"/>
    <w:rsid w:val="4BA52676"/>
    <w:rsid w:val="4C6B12AB"/>
    <w:rsid w:val="4CBE1380"/>
    <w:rsid w:val="4D8D0EED"/>
    <w:rsid w:val="4E0B7835"/>
    <w:rsid w:val="4E6374A0"/>
    <w:rsid w:val="4EDC2D82"/>
    <w:rsid w:val="50101CBA"/>
    <w:rsid w:val="50502B31"/>
    <w:rsid w:val="54966634"/>
    <w:rsid w:val="569C053A"/>
    <w:rsid w:val="58BA16F6"/>
    <w:rsid w:val="5B9B36BD"/>
    <w:rsid w:val="5D5E4B33"/>
    <w:rsid w:val="5E720882"/>
    <w:rsid w:val="5E8C6849"/>
    <w:rsid w:val="6120442E"/>
    <w:rsid w:val="61E91DC1"/>
    <w:rsid w:val="61EB6DF6"/>
    <w:rsid w:val="628B20F9"/>
    <w:rsid w:val="65ED19B5"/>
    <w:rsid w:val="672762CB"/>
    <w:rsid w:val="67A84266"/>
    <w:rsid w:val="68FE10CA"/>
    <w:rsid w:val="69954D46"/>
    <w:rsid w:val="6A650E24"/>
    <w:rsid w:val="6C560643"/>
    <w:rsid w:val="6C5C4755"/>
    <w:rsid w:val="6D9E564E"/>
    <w:rsid w:val="6E647BAA"/>
    <w:rsid w:val="6ED8743F"/>
    <w:rsid w:val="6F7A5B80"/>
    <w:rsid w:val="70994298"/>
    <w:rsid w:val="70A779CE"/>
    <w:rsid w:val="73653AD9"/>
    <w:rsid w:val="752B36B1"/>
    <w:rsid w:val="75D44E15"/>
    <w:rsid w:val="77BD025C"/>
    <w:rsid w:val="792A63C1"/>
    <w:rsid w:val="7A4608C1"/>
    <w:rsid w:val="7B882BF8"/>
    <w:rsid w:val="7BD75797"/>
    <w:rsid w:val="7C8034ED"/>
    <w:rsid w:val="7E2A7A73"/>
    <w:rsid w:val="7E2B52CB"/>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2</TotalTime>
  <ScaleCrop>false</ScaleCrop>
  <LinksUpToDate>false</LinksUpToDate>
  <CharactersWithSpaces>3596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RZ ZTE</cp:lastModifiedBy>
  <cp:lastPrinted>2015-01-14T18:53:00Z</cp:lastPrinted>
  <dcterms:modified xsi:type="dcterms:W3CDTF">2018-04-04T08:34:45Z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2052-10.8.0.6423</vt:lpwstr>
  </property>
</Properties>
</file>